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DD02D" w14:textId="4E932430" w:rsidR="00D82C18" w:rsidRPr="00B56791" w:rsidRDefault="00B3608C" w:rsidP="00773F6C">
      <w:pPr>
        <w:rPr>
          <w:rFonts w:ascii="Verdana" w:hAnsi="Verdana"/>
          <w:b/>
          <w:bCs/>
        </w:rPr>
      </w:pPr>
      <w:r>
        <w:rPr>
          <w:rFonts w:ascii="Verdana" w:hAnsi="Verdana"/>
          <w:b/>
          <w:sz w:val="28"/>
        </w:rPr>
        <w:t xml:space="preserve">Sessão 1.4 </w:t>
      </w:r>
      <w:r>
        <w:rPr>
          <w:rFonts w:ascii="Verdana" w:hAnsi="Verdana"/>
          <w:b/>
          <w:color w:val="000000" w:themeColor="text1"/>
          <w:sz w:val="28"/>
        </w:rPr>
        <w:t>Procedimentos e Práticas de Assistência Jurídica Mútua (versão online)</w:t>
      </w:r>
    </w:p>
    <w:p w14:paraId="1D0E3DC5" w14:textId="77777777" w:rsidR="00C115FC" w:rsidRPr="00C115FC" w:rsidRDefault="00C115FC" w:rsidP="00C115FC">
      <w:pPr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D82C18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1DB48F15" w:rsidR="00D82C18" w:rsidRPr="00773F6C" w:rsidRDefault="00C115FC" w:rsidP="00C115F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</w:rPr>
              <w:t xml:space="preserve">Sessão 1.4 </w:t>
            </w:r>
            <w:r>
              <w:rPr>
                <w:rFonts w:ascii="Verdana" w:hAnsi="Verdana"/>
                <w:sz w:val="22"/>
              </w:rPr>
              <w:t>Procedimentos e Práticas de Assistência Jurídica Mútua (versão online)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3AD62226" w:rsidR="00D82C18" w:rsidRPr="00D82C18" w:rsidRDefault="00D82C18" w:rsidP="00C115F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</w:rPr>
              <w:t xml:space="preserve">Duração: </w:t>
            </w:r>
            <w:r>
              <w:rPr>
                <w:rFonts w:ascii="Verdana" w:hAnsi="Verdana"/>
                <w:color w:val="000000" w:themeColor="text1"/>
                <w:sz w:val="22"/>
              </w:rPr>
              <w:t xml:space="preserve">60 minutos </w:t>
            </w:r>
          </w:p>
        </w:tc>
      </w:tr>
      <w:tr w:rsidR="00E7344B" w:rsidRPr="00D82C18" w14:paraId="7C1107AB" w14:textId="77777777" w:rsidTr="00B56791">
        <w:trPr>
          <w:trHeight w:val="1376"/>
        </w:trPr>
        <w:tc>
          <w:tcPr>
            <w:tcW w:w="9010" w:type="dxa"/>
            <w:gridSpan w:val="3"/>
            <w:vAlign w:val="center"/>
          </w:tcPr>
          <w:p w14:paraId="0B1C3404" w14:textId="68B9BEF1" w:rsidR="00E7344B" w:rsidRPr="000F7896" w:rsidRDefault="00E7344B" w:rsidP="000F7896">
            <w:pPr>
              <w:spacing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Recursos necessários: </w:t>
            </w:r>
          </w:p>
          <w:p w14:paraId="7E258817" w14:textId="77777777" w:rsidR="00863197" w:rsidRPr="00BB0C1B" w:rsidRDefault="00863197" w:rsidP="00863197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proofErr w:type="spellStart"/>
            <w:r>
              <w:t>PC/computador</w:t>
            </w:r>
            <w:proofErr w:type="spellEnd"/>
            <w:r>
              <w:t xml:space="preserve"> portátil que disponha de versões de </w:t>
            </w:r>
            <w:proofErr w:type="gramStart"/>
            <w:r>
              <w:t>software</w:t>
            </w:r>
            <w:proofErr w:type="gramEnd"/>
            <w:r>
              <w:t xml:space="preserve"> compatíveis com os materiais preparados </w:t>
            </w:r>
          </w:p>
          <w:p w14:paraId="00E2D22C" w14:textId="77777777" w:rsidR="00863197" w:rsidRPr="00BB0C1B" w:rsidRDefault="00863197" w:rsidP="00863197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>Acesso à Internet</w:t>
            </w:r>
          </w:p>
          <w:p w14:paraId="18A5802F" w14:textId="77777777" w:rsidR="00863197" w:rsidRPr="000F7896" w:rsidRDefault="00863197" w:rsidP="00863197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Acesso a </w:t>
            </w:r>
            <w:proofErr w:type="spellStart"/>
            <w:proofErr w:type="gramStart"/>
            <w:r>
              <w:t>software</w:t>
            </w:r>
            <w:proofErr w:type="gramEnd"/>
            <w:r>
              <w:t>/plataforma</w:t>
            </w:r>
            <w:proofErr w:type="spellEnd"/>
            <w:r>
              <w:t xml:space="preserve"> de conferências online</w:t>
            </w:r>
          </w:p>
          <w:p w14:paraId="20334645" w14:textId="77777777" w:rsidR="00863197" w:rsidRPr="003406F3" w:rsidRDefault="00863197" w:rsidP="00863197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Projetor e ecrã</w:t>
            </w:r>
          </w:p>
          <w:p w14:paraId="14CF9EF0" w14:textId="6A1B9713" w:rsidR="000F7896" w:rsidRPr="000F7896" w:rsidRDefault="00863197" w:rsidP="00863197">
            <w:pPr>
              <w:pStyle w:val="bul1"/>
              <w:numPr>
                <w:ilvl w:val="0"/>
                <w:numId w:val="6"/>
              </w:numPr>
              <w:spacing w:after="120" w:line="280" w:lineRule="exact"/>
            </w:pPr>
            <w:r>
              <w:t>Papel e canetas para participantes</w:t>
            </w:r>
          </w:p>
        </w:tc>
      </w:tr>
      <w:tr w:rsidR="00E7344B" w:rsidRPr="00D82C18" w14:paraId="635F2EFD" w14:textId="77777777" w:rsidTr="004D35F1">
        <w:trPr>
          <w:trHeight w:val="2051"/>
        </w:trPr>
        <w:tc>
          <w:tcPr>
            <w:tcW w:w="9010" w:type="dxa"/>
            <w:gridSpan w:val="3"/>
            <w:vAlign w:val="center"/>
          </w:tcPr>
          <w:p w14:paraId="34602AF3" w14:textId="6B952258" w:rsidR="00A03CF0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Objetivo da sessão:</w:t>
            </w:r>
            <w:r w:rsidR="00F641D5">
              <w:rPr>
                <w:rFonts w:ascii="Verdana" w:hAnsi="Verdana"/>
                <w:b/>
                <w:sz w:val="22"/>
              </w:rPr>
              <w:t xml:space="preserve"> </w:t>
            </w:r>
          </w:p>
          <w:p w14:paraId="17B64E8D" w14:textId="41C406F6" w:rsidR="00B56791" w:rsidRDefault="00B56791" w:rsidP="00863197">
            <w:pPr>
              <w:spacing w:line="280" w:lineRule="atLeast"/>
              <w:contextualSpacing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O objetivo da sessão é discutir o conceito da prática e o procedimento de assistência jurídica mútua e extradição, apresentar os desafios atuais do processo de AJM e a forma como os diferentes sistemas jurídicos podem afetar a eficiência do processo de AJM.</w:t>
            </w:r>
            <w:r w:rsidR="00F641D5">
              <w:rPr>
                <w:rFonts w:ascii="Verdana" w:hAnsi="Verdana"/>
                <w:color w:val="000000"/>
                <w:sz w:val="18"/>
              </w:rPr>
              <w:t xml:space="preserve"> </w:t>
            </w:r>
          </w:p>
          <w:p w14:paraId="0D3FFDDD" w14:textId="77777777" w:rsidR="00B56791" w:rsidRPr="00B56791" w:rsidRDefault="00B56791" w:rsidP="00863197">
            <w:pPr>
              <w:spacing w:line="280" w:lineRule="atLeast"/>
              <w:contextualSpacing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</w:rPr>
            </w:pPr>
          </w:p>
          <w:p w14:paraId="303D581E" w14:textId="3C6A3743" w:rsidR="00B56791" w:rsidRPr="00B56791" w:rsidRDefault="00B56791" w:rsidP="00863197">
            <w:pPr>
              <w:spacing w:line="280" w:lineRule="atLeast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O procedimento AJM deve ser também complementado com procedimentos de cooperação entre entidades privadas, uma vez que alguns dos seus aspetos formais decorrem da Convenção e dos direitos internos, por ex., a cooperação direta entre fornecedores de serviços de Internet.</w:t>
            </w:r>
          </w:p>
          <w:p w14:paraId="3FE58655" w14:textId="04E941D8" w:rsidR="00A03CF0" w:rsidRPr="004D35F1" w:rsidRDefault="00A03CF0" w:rsidP="00B56791">
            <w:pPr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A03CF0" w:rsidRPr="00D82C18" w14:paraId="1B5A80A7" w14:textId="77777777" w:rsidTr="00F1338F">
        <w:trPr>
          <w:trHeight w:val="5894"/>
        </w:trPr>
        <w:tc>
          <w:tcPr>
            <w:tcW w:w="9010" w:type="dxa"/>
            <w:gridSpan w:val="3"/>
          </w:tcPr>
          <w:p w14:paraId="559A7E05" w14:textId="28267110" w:rsidR="00A03CF0" w:rsidRPr="00271010" w:rsidRDefault="00271010" w:rsidP="00F62A15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Objetivos:</w:t>
            </w:r>
          </w:p>
          <w:p w14:paraId="6B3AB4EA" w14:textId="007B9848" w:rsidR="00B56791" w:rsidRPr="00B56791" w:rsidRDefault="00B56791" w:rsidP="00863197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line="280" w:lineRule="atLeast"/>
              <w:ind w:left="360"/>
              <w:rPr>
                <w:rFonts w:ascii="Verdana" w:eastAsia="Times New Roman" w:hAnsi="Verdana" w:cs="Times New Roman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</w:rPr>
              <w:t>compreender</w:t>
            </w:r>
            <w:proofErr w:type="gramEnd"/>
            <w:r>
              <w:rPr>
                <w:rFonts w:ascii="Verdana" w:hAnsi="Verdana"/>
                <w:sz w:val="18"/>
              </w:rPr>
              <w:t xml:space="preserve"> melhor a prática e os procedimentos de assistência jurídica mútua</w:t>
            </w:r>
          </w:p>
          <w:p w14:paraId="463B7237" w14:textId="75BA8DD3" w:rsidR="00B56791" w:rsidRPr="00B56791" w:rsidRDefault="00B56791" w:rsidP="00863197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line="280" w:lineRule="atLeast"/>
              <w:ind w:left="360"/>
              <w:rPr>
                <w:rFonts w:ascii="Verdana" w:eastAsia="Times New Roman" w:hAnsi="Verdana" w:cs="Times New Roman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</w:rPr>
              <w:t>conhecer</w:t>
            </w:r>
            <w:proofErr w:type="gramEnd"/>
            <w:r>
              <w:rPr>
                <w:rFonts w:ascii="Verdana" w:hAnsi="Verdana"/>
                <w:sz w:val="18"/>
              </w:rPr>
              <w:t xml:space="preserve"> os desafios do processo AJM e o que afeta e como afeta a sua eficiência</w:t>
            </w:r>
          </w:p>
          <w:p w14:paraId="71996F89" w14:textId="774A641D" w:rsidR="00B56791" w:rsidRPr="00B56791" w:rsidRDefault="00B56791" w:rsidP="00863197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line="280" w:lineRule="atLeast"/>
              <w:ind w:left="360"/>
              <w:rPr>
                <w:rFonts w:ascii="Verdana" w:eastAsia="Times New Roman" w:hAnsi="Verdana" w:cs="Times New Roman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</w:rPr>
              <w:t>conhecer</w:t>
            </w:r>
            <w:proofErr w:type="gramEnd"/>
            <w:r>
              <w:rPr>
                <w:rFonts w:ascii="Verdana" w:hAnsi="Verdana"/>
                <w:sz w:val="18"/>
              </w:rPr>
              <w:t xml:space="preserve"> os instrumentos de cooperação, as normas e os canais de comunicação</w:t>
            </w:r>
          </w:p>
          <w:p w14:paraId="0B05919F" w14:textId="2D1527C0" w:rsidR="00B56791" w:rsidRPr="00B56791" w:rsidRDefault="00B56791" w:rsidP="00863197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line="280" w:lineRule="atLeast"/>
              <w:ind w:left="360"/>
              <w:rPr>
                <w:rFonts w:ascii="Verdana" w:eastAsia="Times New Roman" w:hAnsi="Verdana" w:cs="Times New Roman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</w:rPr>
              <w:t>compreender</w:t>
            </w:r>
            <w:proofErr w:type="gramEnd"/>
            <w:r>
              <w:rPr>
                <w:rFonts w:ascii="Verdana" w:hAnsi="Verdana"/>
                <w:sz w:val="18"/>
              </w:rPr>
              <w:t xml:space="preserve"> quais são os diferentes requisitos legais </w:t>
            </w:r>
          </w:p>
          <w:p w14:paraId="22F47B0F" w14:textId="32BA57E4" w:rsidR="00B56791" w:rsidRPr="00B56791" w:rsidRDefault="00B56791" w:rsidP="00863197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line="280" w:lineRule="atLeast"/>
              <w:ind w:left="360"/>
              <w:rPr>
                <w:rFonts w:ascii="Verdana" w:eastAsia="Times New Roman" w:hAnsi="Verdana" w:cs="Times New Roman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</w:rPr>
              <w:t>conhecer</w:t>
            </w:r>
            <w:proofErr w:type="gramEnd"/>
            <w:r>
              <w:rPr>
                <w:rFonts w:ascii="Verdana" w:hAnsi="Verdana"/>
                <w:sz w:val="18"/>
              </w:rPr>
              <w:t xml:space="preserve"> as avaliações existentes da AJM e sensibilizar para as recomendações sobre a forma de melhorar o processo</w:t>
            </w:r>
          </w:p>
          <w:p w14:paraId="61ABEAC5" w14:textId="62D05CDA" w:rsidR="004D35F1" w:rsidRPr="00B56791" w:rsidRDefault="00B56791" w:rsidP="00863197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line="280" w:lineRule="atLeast"/>
              <w:ind w:left="360"/>
              <w:rPr>
                <w:rFonts w:ascii="Verdana" w:eastAsia="Times New Roman" w:hAnsi="Verdana" w:cs="Times New Roman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sz w:val="18"/>
              </w:rPr>
              <w:t>melhorar</w:t>
            </w:r>
            <w:proofErr w:type="gramEnd"/>
            <w:r>
              <w:rPr>
                <w:rFonts w:ascii="Verdana" w:hAnsi="Verdana"/>
                <w:sz w:val="18"/>
              </w:rPr>
              <w:t xml:space="preserve"> os conhecimentos sobre os instrumentos de apoio existentes</w:t>
            </w:r>
          </w:p>
        </w:tc>
      </w:tr>
      <w:tr w:rsidR="005703B7" w:rsidRPr="00D82C18" w14:paraId="03110757" w14:textId="77777777" w:rsidTr="00D62E5F">
        <w:trPr>
          <w:trHeight w:val="32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39A6E0DE" w:rsidR="005703B7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</w:rPr>
              <w:lastRenderedPageBreak/>
              <w:t>Orientação para o formador</w:t>
            </w:r>
          </w:p>
          <w:p w14:paraId="4A62EF5F" w14:textId="2A833BE9" w:rsidR="004D35F1" w:rsidRDefault="004D35F1" w:rsidP="00863197">
            <w:pPr>
              <w:spacing w:line="280" w:lineRule="atLeast"/>
              <w:ind w:left="720" w:hanging="720"/>
              <w:jc w:val="both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Durante a sessão, devem ser considerados os seguintes temas:</w:t>
            </w:r>
          </w:p>
          <w:p w14:paraId="079E1A50" w14:textId="77777777" w:rsidR="00863197" w:rsidRDefault="00863197" w:rsidP="00863197">
            <w:pPr>
              <w:spacing w:line="280" w:lineRule="atLeast"/>
              <w:ind w:left="720" w:hanging="720"/>
              <w:jc w:val="both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</w:p>
          <w:p w14:paraId="1675BBB8" w14:textId="7B88A923" w:rsidR="004D35F1" w:rsidRDefault="00F1338F" w:rsidP="00863197">
            <w:pPr>
              <w:pStyle w:val="ListParagraph"/>
              <w:widowControl w:val="0"/>
              <w:numPr>
                <w:ilvl w:val="0"/>
                <w:numId w:val="15"/>
              </w:numPr>
              <w:spacing w:line="280" w:lineRule="atLeast"/>
              <w:ind w:hanging="72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Instrumentos de cooperação internacional, normas e canais de comunicação, incluindo tratados bilaterais, multilaterais e internacionais, com especial destaque para a Convenção de Budapeste</w:t>
            </w:r>
          </w:p>
          <w:p w14:paraId="2E00410B" w14:textId="798E1123" w:rsidR="00D62E5F" w:rsidRPr="004D35F1" w:rsidRDefault="00D62E5F" w:rsidP="00863197">
            <w:pPr>
              <w:pStyle w:val="ListParagraph"/>
              <w:widowControl w:val="0"/>
              <w:numPr>
                <w:ilvl w:val="0"/>
                <w:numId w:val="15"/>
              </w:numPr>
              <w:spacing w:line="280" w:lineRule="atLeast"/>
              <w:ind w:hanging="72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Os canais de comunicação devem incluir a transmissão direta e a transmissão entre autoridades centrais, canais diplomáticos e a Interpol e comunicações expeditas</w:t>
            </w:r>
          </w:p>
          <w:p w14:paraId="7E837F6B" w14:textId="76A6DD11" w:rsidR="004B7351" w:rsidRPr="00D62E5F" w:rsidRDefault="00D62E5F" w:rsidP="00863197">
            <w:pPr>
              <w:pStyle w:val="ListParagraph"/>
              <w:widowControl w:val="0"/>
              <w:numPr>
                <w:ilvl w:val="0"/>
                <w:numId w:val="15"/>
              </w:numPr>
              <w:spacing w:line="280" w:lineRule="atLeast"/>
              <w:ind w:hanging="72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Requisitos e considerações jurídicas em matéria de assistência jurídica mútua, incluindo a forma do pedido, o teor, a informação adicional e a aplicação do direito interno</w:t>
            </w:r>
          </w:p>
          <w:p w14:paraId="55ECADDA" w14:textId="23E4B337" w:rsidR="00D62E5F" w:rsidRDefault="00D62E5F" w:rsidP="00863197">
            <w:pPr>
              <w:pStyle w:val="ListParagraph"/>
              <w:widowControl w:val="0"/>
              <w:numPr>
                <w:ilvl w:val="0"/>
                <w:numId w:val="15"/>
              </w:numPr>
              <w:spacing w:line="280" w:lineRule="atLeast"/>
              <w:ind w:hanging="72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As considerações devem incluir tanto as questões da Parte requerente como da Parte requerida</w:t>
            </w:r>
          </w:p>
          <w:p w14:paraId="17BC0CB1" w14:textId="3D19CBEF" w:rsidR="00D62E5F" w:rsidRDefault="00D62E5F" w:rsidP="00863197">
            <w:pPr>
              <w:pStyle w:val="ListParagraph"/>
              <w:widowControl w:val="0"/>
              <w:numPr>
                <w:ilvl w:val="0"/>
                <w:numId w:val="15"/>
              </w:numPr>
              <w:spacing w:line="280" w:lineRule="atLeast"/>
              <w:ind w:hanging="72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Avaliação do Conselho da Europa da AJM e de outras disposições, recomendações e instrumentos de apoio existentes</w:t>
            </w:r>
          </w:p>
          <w:p w14:paraId="362689F9" w14:textId="3473C8E1" w:rsidR="00863197" w:rsidRPr="00863197" w:rsidRDefault="00D62E5F" w:rsidP="00863197">
            <w:pPr>
              <w:pStyle w:val="ListParagraph"/>
              <w:widowControl w:val="0"/>
              <w:numPr>
                <w:ilvl w:val="0"/>
                <w:numId w:val="15"/>
              </w:numPr>
              <w:spacing w:line="280" w:lineRule="atLeast"/>
              <w:ind w:hanging="72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Os instrumentos de apoio devem ser utilizados com ligação à Internet em direto</w:t>
            </w:r>
          </w:p>
          <w:p w14:paraId="5EFF4BEF" w14:textId="48B262C2" w:rsidR="00006EAD" w:rsidRPr="00006EAD" w:rsidRDefault="00006EAD" w:rsidP="00006EAD">
            <w:pPr>
              <w:widowControl w:val="0"/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5A4E47" w:rsidRPr="00D82C18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CB3026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</w:rPr>
              <w:t>Teor da sessão</w:t>
            </w:r>
          </w:p>
        </w:tc>
      </w:tr>
      <w:tr w:rsidR="00F1574D" w:rsidRPr="00D82C18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7777777" w:rsidR="00D82C18" w:rsidRPr="00E13BE7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Números dos slides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E13BE7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Teor</w:t>
            </w:r>
          </w:p>
        </w:tc>
      </w:tr>
      <w:tr w:rsidR="00F1574D" w:rsidRPr="00D82C18" w14:paraId="11A12D7E" w14:textId="77777777" w:rsidTr="00BD7897">
        <w:trPr>
          <w:trHeight w:val="1043"/>
        </w:trPr>
        <w:tc>
          <w:tcPr>
            <w:tcW w:w="1525" w:type="dxa"/>
            <w:vAlign w:val="center"/>
          </w:tcPr>
          <w:p w14:paraId="67083237" w14:textId="42526069" w:rsidR="00D82C18" w:rsidRDefault="003630E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1 a 3</w:t>
            </w:r>
          </w:p>
          <w:p w14:paraId="5A89CF27" w14:textId="71EEF2DB" w:rsidR="00F1574D" w:rsidRPr="00F62A15" w:rsidRDefault="00F1574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485" w:type="dxa"/>
            <w:gridSpan w:val="2"/>
            <w:vAlign w:val="center"/>
          </w:tcPr>
          <w:p w14:paraId="4697639D" w14:textId="34C43B7C" w:rsidR="004D35F1" w:rsidRPr="00556D69" w:rsidRDefault="00556D69" w:rsidP="004D35F1">
            <w:pPr>
              <w:spacing w:before="120" w:after="120" w:line="280" w:lineRule="exact"/>
              <w:jc w:val="both"/>
              <w:rPr>
                <w:rFonts w:ascii="Verdana" w:hAnsi="Verdana"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Os slides iniciais são a introdução à sessão e incluem a agenda e os objetivos da sessão, em conjunto com alguns subtópicos de atualização da formação inicial.</w:t>
            </w:r>
            <w:r w:rsidR="00F641D5">
              <w:rPr>
                <w:rFonts w:ascii="Verdana" w:hAnsi="Verdana"/>
                <w:color w:val="000000" w:themeColor="text1"/>
                <w:sz w:val="18"/>
              </w:rPr>
              <w:t xml:space="preserve"> </w:t>
            </w:r>
          </w:p>
          <w:p w14:paraId="36345B59" w14:textId="6DD941F4" w:rsidR="00556D69" w:rsidRPr="00556D69" w:rsidRDefault="00556D69" w:rsidP="00CB3026">
            <w:pPr>
              <w:spacing w:before="120" w:after="120" w:line="280" w:lineRule="exact"/>
              <w:jc w:val="both"/>
              <w:rPr>
                <w:rFonts w:ascii="Verdana" w:hAnsi="Verdana"/>
                <w:color w:val="FF0000"/>
                <w:sz w:val="18"/>
                <w:szCs w:val="18"/>
              </w:rPr>
            </w:pPr>
          </w:p>
        </w:tc>
      </w:tr>
      <w:tr w:rsidR="00F1574D" w:rsidRPr="00D82C18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6F5AEB2D" w14:textId="3371768D" w:rsidR="00F1574D" w:rsidRPr="003630ED" w:rsidRDefault="00863197" w:rsidP="00BD7897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4-7</w:t>
            </w:r>
          </w:p>
        </w:tc>
        <w:tc>
          <w:tcPr>
            <w:tcW w:w="7485" w:type="dxa"/>
            <w:gridSpan w:val="2"/>
            <w:vAlign w:val="center"/>
          </w:tcPr>
          <w:p w14:paraId="20813360" w14:textId="31ED54F8" w:rsidR="00151E6A" w:rsidRPr="00151E6A" w:rsidRDefault="00151E6A" w:rsidP="00151E6A">
            <w:pPr>
              <w:pStyle w:val="Subtitle"/>
              <w:rPr>
                <w:rFonts w:ascii="Verdana" w:eastAsia="Times New Roman" w:hAnsi="Verdana"/>
                <w:szCs w:val="18"/>
              </w:rPr>
            </w:pPr>
            <w:r>
              <w:rPr>
                <w:rFonts w:ascii="Verdana" w:hAnsi="Verdana"/>
              </w:rPr>
              <w:t xml:space="preserve">Estes slides explicam o tratado de assistência jurídica </w:t>
            </w:r>
            <w:proofErr w:type="gramStart"/>
            <w:r>
              <w:rPr>
                <w:rFonts w:ascii="Verdana" w:hAnsi="Verdana"/>
              </w:rPr>
              <w:t>mútua</w:t>
            </w:r>
            <w:proofErr w:type="gramEnd"/>
            <w:r>
              <w:rPr>
                <w:rFonts w:ascii="Verdana" w:hAnsi="Verdana"/>
              </w:rPr>
              <w:t xml:space="preserve"> como um acordo entre dois ou mais países com o objetivo de recolher e trocar informação num esforço de aplicação do direito público ou penal. O nível básico para a assistência jurídica mútua é representado por tratados. Existe uma grande variedade, começando por bilaterais (entre dois países), multilaterais (entre três ou mais países) ou internacionais (entre um número significativo de países, possivelmente intercontinentais).</w:t>
            </w:r>
          </w:p>
          <w:p w14:paraId="2698CF7B" w14:textId="77777777" w:rsidR="00151E6A" w:rsidRDefault="00151E6A" w:rsidP="00151E6A">
            <w:pPr>
              <w:pStyle w:val="Subtitle"/>
              <w:rPr>
                <w:rFonts w:ascii="Verdana" w:eastAsia="Times New Roman" w:hAnsi="Verdana"/>
                <w:szCs w:val="18"/>
              </w:rPr>
            </w:pPr>
            <w:r>
              <w:rPr>
                <w:rFonts w:ascii="Verdana" w:hAnsi="Verdana"/>
              </w:rPr>
              <w:t xml:space="preserve">Tais tratados têm razões para a sua aplicação, sobretudo porque os princípios gerais do direito internacional não são fortuitos e os países que os assinam necessitam de uma base mais sólida para a cooperação penal. As vantagens e desvantagens são claramente apresentadas no slide. </w:t>
            </w:r>
          </w:p>
          <w:p w14:paraId="6C492AE1" w14:textId="77777777" w:rsidR="00151E6A" w:rsidRDefault="00151E6A" w:rsidP="00151E6A">
            <w:pPr>
              <w:pStyle w:val="Subtitle"/>
              <w:rPr>
                <w:rFonts w:ascii="Verdana" w:eastAsia="Times New Roman" w:hAnsi="Verdana"/>
                <w:szCs w:val="18"/>
              </w:rPr>
            </w:pPr>
            <w:r>
              <w:rPr>
                <w:rFonts w:ascii="Verdana" w:hAnsi="Verdana"/>
              </w:rPr>
              <w:t xml:space="preserve">As convenções internacionais são tratados ou acordos entre países. A expressão “convenção internacional” é frequentemente utilizada indistintamente com termos como “tratado internacional”, “acordo internacional”, “pacto” ou “contrato entre Estados”. </w:t>
            </w:r>
          </w:p>
          <w:p w14:paraId="649FEA68" w14:textId="70C053F5" w:rsidR="00CB3026" w:rsidRPr="00151E6A" w:rsidRDefault="00151E6A" w:rsidP="00151E6A">
            <w:pPr>
              <w:pStyle w:val="Subtitle"/>
              <w:rPr>
                <w:rFonts w:ascii="Verdana" w:eastAsia="Times New Roman" w:hAnsi="Verdana"/>
                <w:szCs w:val="18"/>
              </w:rPr>
            </w:pPr>
            <w:r>
              <w:rPr>
                <w:rFonts w:ascii="Verdana" w:hAnsi="Verdana"/>
              </w:rPr>
              <w:t>As convenções podem ser de natureza geral ou específica e entre dois ou vários Estados.</w:t>
            </w:r>
            <w:r w:rsidR="00F641D5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As convenções entre dois Estados são designadas de tratados bilaterais, as convenções entre um pequeno número de Estados (mas mais de dois) são designadas de tratados plurilaterais e as convenções entre um grande número de Estados são designadas de tratados multilaterais.</w:t>
            </w:r>
          </w:p>
        </w:tc>
      </w:tr>
      <w:tr w:rsidR="00F1574D" w:rsidRPr="00D82C18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65C32028" w14:textId="3D822BA2" w:rsidR="00F1574D" w:rsidRDefault="0033766C" w:rsidP="00BD7897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lastRenderedPageBreak/>
              <w:t>8 a 12</w:t>
            </w:r>
          </w:p>
        </w:tc>
        <w:tc>
          <w:tcPr>
            <w:tcW w:w="7485" w:type="dxa"/>
            <w:gridSpan w:val="2"/>
            <w:vAlign w:val="center"/>
          </w:tcPr>
          <w:p w14:paraId="19272A96" w14:textId="77777777" w:rsidR="00151E6A" w:rsidRDefault="00FE45CA" w:rsidP="00151E6A">
            <w:pPr>
              <w:pStyle w:val="Subtitle"/>
              <w:rPr>
                <w:rFonts w:ascii="Arial" w:eastAsia="MS PGothic" w:hAnsi="Arial" w:cs="MS PGothic"/>
                <w:kern w:val="24"/>
              </w:rPr>
            </w:pPr>
            <w:r>
              <w:rPr>
                <w:rFonts w:ascii="Verdana" w:hAnsi="Verdana"/>
              </w:rPr>
              <w:t>Estes slides apresentam exemplos de alguns tratados internacionais, como a Convenção de Budapeste, o Regime de Harare da Commonwealth, etc.</w:t>
            </w:r>
            <w:r>
              <w:rPr>
                <w:rFonts w:ascii="Arial" w:hAnsi="Arial"/>
              </w:rPr>
              <w:t xml:space="preserve"> </w:t>
            </w:r>
          </w:p>
          <w:p w14:paraId="72401306" w14:textId="77777777" w:rsidR="0033766C" w:rsidRDefault="00151E6A" w:rsidP="005D7794">
            <w:pPr>
              <w:pStyle w:val="Subtitle"/>
              <w:rPr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O direito penal deverá manter-se a par destes avanços tecnológicos que, por meios altamente sofisticados, propiciam uma utilização indevida das funcionalidades do ciberespaço e um consequente lesar dos interesses legítimos. Visto que as redes de informação ignoram a existência de fronteiras, afigura-se como sendo necessário um esforço internacional concertado no sentido de fazer face a esta utilização indevida. Somente um instrumento internacional vinculativo pode garantir a eficiência necessária na luta contra estes novos fenómenos. </w:t>
            </w:r>
          </w:p>
          <w:p w14:paraId="52234401" w14:textId="77777777" w:rsidR="00151E6A" w:rsidRDefault="00151E6A" w:rsidP="005D7794">
            <w:pPr>
              <w:pStyle w:val="Subtitle"/>
              <w:rPr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>No âmbito de um tal instrumento, e adicionalmente às ações de cooperação internacional, deverão ser abordadas as questões do direito substantivo e processual, bem como todas as temáticas estreitamente relacionadas com o uso da tecnologia de informação.</w:t>
            </w:r>
          </w:p>
          <w:p w14:paraId="692F06A8" w14:textId="77777777" w:rsidR="0033766C" w:rsidRDefault="0033766C" w:rsidP="0033766C">
            <w:pPr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Estes slides apresentam igualmente o âmbito do trabalho do Grupo de redação do protocolo do Comité T-CY do Conselho da Europa relativo ao Segundo Protocolo Adicional à Convenção de Budapeste.</w:t>
            </w:r>
          </w:p>
          <w:p w14:paraId="09B58FC0" w14:textId="2EA0C840" w:rsidR="0033766C" w:rsidRPr="0033766C" w:rsidRDefault="0033766C" w:rsidP="0033766C">
            <w:pPr>
              <w:jc w:val="both"/>
              <w:rPr>
                <w:sz w:val="18"/>
                <w:szCs w:val="18"/>
              </w:rPr>
            </w:pPr>
          </w:p>
        </w:tc>
      </w:tr>
      <w:tr w:rsidR="00F1574D" w:rsidRPr="00D82C18" w14:paraId="3C4A313A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00098EC4" w14:textId="6A8F219F" w:rsidR="00F1574D" w:rsidRPr="006B6FDF" w:rsidRDefault="005D7794" w:rsidP="006B6FDF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13 a 16</w:t>
            </w:r>
          </w:p>
        </w:tc>
        <w:tc>
          <w:tcPr>
            <w:tcW w:w="7485" w:type="dxa"/>
            <w:gridSpan w:val="2"/>
            <w:vAlign w:val="center"/>
          </w:tcPr>
          <w:p w14:paraId="09B693A1" w14:textId="4AD597FB" w:rsidR="00556D69" w:rsidRPr="006527C6" w:rsidRDefault="003F6587" w:rsidP="005D7794">
            <w:p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Estes slides apresentam os canais de comunicação com base no exemplo da Convenção do Conselho da Europa de 1959 relativa à Assistência Jurídica </w:t>
            </w:r>
            <w:proofErr w:type="gramStart"/>
            <w:r>
              <w:rPr>
                <w:rFonts w:ascii="Verdana" w:hAnsi="Verdana"/>
                <w:sz w:val="18"/>
              </w:rPr>
              <w:t>Mútua</w:t>
            </w:r>
            <w:proofErr w:type="gramEnd"/>
            <w:r>
              <w:rPr>
                <w:rFonts w:ascii="Verdana" w:hAnsi="Verdana"/>
                <w:sz w:val="18"/>
              </w:rPr>
              <w:t xml:space="preserve"> em Matéria Penal e protocolos adicionais, em conjunto com a Convenção de Budapeste e outras fontes pertinentes. </w:t>
            </w:r>
          </w:p>
        </w:tc>
      </w:tr>
      <w:tr w:rsidR="00F1574D" w:rsidRPr="00D82C18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DE9D224" w14:textId="2DD43546" w:rsidR="00F1574D" w:rsidRPr="006527C6" w:rsidRDefault="0033766C" w:rsidP="005D7794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17 a 24</w:t>
            </w:r>
          </w:p>
        </w:tc>
        <w:tc>
          <w:tcPr>
            <w:tcW w:w="7485" w:type="dxa"/>
            <w:gridSpan w:val="2"/>
            <w:vAlign w:val="center"/>
          </w:tcPr>
          <w:p w14:paraId="27CB1879" w14:textId="1780B835" w:rsidR="00AB07AA" w:rsidRDefault="006527C6" w:rsidP="0033766C">
            <w:pPr>
              <w:pStyle w:val="Subtitle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</w:rPr>
              <w:t>Estes slides abrangem os requisitos legais da assistência jurídica mútua em matéria penal.</w:t>
            </w:r>
          </w:p>
          <w:p w14:paraId="4027972E" w14:textId="7F049B11" w:rsidR="0033766C" w:rsidRPr="0033766C" w:rsidRDefault="0033766C" w:rsidP="0033766C">
            <w:pPr>
              <w:spacing w:line="280" w:lineRule="atLeas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O artigo 27.º </w:t>
            </w:r>
            <w:proofErr w:type="gramStart"/>
            <w:r>
              <w:rPr>
                <w:rFonts w:ascii="Verdana" w:hAnsi="Verdana"/>
                <w:sz w:val="18"/>
              </w:rPr>
              <w:t>da</w:t>
            </w:r>
            <w:proofErr w:type="gramEnd"/>
            <w:r>
              <w:rPr>
                <w:rFonts w:ascii="Verdana" w:hAnsi="Verdana"/>
                <w:sz w:val="18"/>
              </w:rPr>
              <w:t xml:space="preserve"> Convenção de Budapeste (Procedimentos relativos a pedidos de assistência mútua em caso de inexistência de acordos internacionais aplicáveis), n.º 2 a 10, prevê um conjunto de normas referentes à prestação de assistência mútua na ausência de um tratado ou acordo de assistência jurídica mútua, firmado com base em legislação uniforme ou recíproca, entre as quais se contam a constituição de autoridades centrais, a imposição de condições, a definição de fundamentos e procedimentos em casos de adiamento ou recusa, a confidencialidade dos pedidos e as comunicações diretas. </w:t>
            </w:r>
          </w:p>
          <w:p w14:paraId="6E2FA816" w14:textId="1E5B1897" w:rsidR="00AB07AA" w:rsidRPr="00AB07AA" w:rsidRDefault="00AB07AA" w:rsidP="00AB07A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F1574D" w:rsidRPr="00D82C18" w14:paraId="720470D6" w14:textId="77777777" w:rsidTr="00F1574D">
        <w:trPr>
          <w:trHeight w:val="1169"/>
        </w:trPr>
        <w:tc>
          <w:tcPr>
            <w:tcW w:w="1525" w:type="dxa"/>
            <w:vAlign w:val="center"/>
          </w:tcPr>
          <w:p w14:paraId="61FD9F0D" w14:textId="3CF2A7F3" w:rsidR="00F1574D" w:rsidRPr="006527C6" w:rsidRDefault="0033766C" w:rsidP="005F709E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26 a 30</w:t>
            </w:r>
          </w:p>
        </w:tc>
        <w:tc>
          <w:tcPr>
            <w:tcW w:w="7485" w:type="dxa"/>
            <w:gridSpan w:val="2"/>
            <w:vAlign w:val="center"/>
          </w:tcPr>
          <w:p w14:paraId="0B9B4B83" w14:textId="77777777" w:rsidR="0033766C" w:rsidRPr="005F709E" w:rsidRDefault="0033766C" w:rsidP="0033766C">
            <w:pPr>
              <w:pStyle w:val="Subtitle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</w:rPr>
              <w:t xml:space="preserve">Estes slides abrangem as considerações apresentadas sob a forma de perguntas. As respostas dependem do quadro jurídico nacional e internacional em matéria de assistência jurídica mútua e de considerações relativas a processos específicos. Dependem igualmente da organização e da estrutura das autoridades competentes da Parte requerente, tanto diretamente envolvidas no processo como a nível da cooperação internacional. </w:t>
            </w:r>
          </w:p>
          <w:p w14:paraId="59CB9448" w14:textId="7DA76017" w:rsidR="005F709E" w:rsidRPr="005F709E" w:rsidRDefault="0033766C" w:rsidP="005F709E">
            <w:pPr>
              <w:pStyle w:val="Subtitle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</w:rPr>
              <w:t>Regra geral, as autoridades mais especializadas e experientes que utilizam um quadro jurídico adaptado às necessidades da assistência jurídica mútua expedita obterão resultados melhores e mais rápidos.</w:t>
            </w:r>
          </w:p>
        </w:tc>
      </w:tr>
      <w:tr w:rsidR="006D4E39" w:rsidRPr="00D82C18" w14:paraId="09894143" w14:textId="77777777" w:rsidTr="00F1574D">
        <w:trPr>
          <w:trHeight w:val="1169"/>
        </w:trPr>
        <w:tc>
          <w:tcPr>
            <w:tcW w:w="1525" w:type="dxa"/>
            <w:vAlign w:val="center"/>
          </w:tcPr>
          <w:p w14:paraId="26EE0A2A" w14:textId="21706F29" w:rsidR="006D4E39" w:rsidRDefault="006D4E39" w:rsidP="005F709E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31 a 35</w:t>
            </w:r>
          </w:p>
        </w:tc>
        <w:tc>
          <w:tcPr>
            <w:tcW w:w="7485" w:type="dxa"/>
            <w:gridSpan w:val="2"/>
            <w:vAlign w:val="center"/>
          </w:tcPr>
          <w:p w14:paraId="73387852" w14:textId="77777777" w:rsidR="006D4E39" w:rsidRDefault="006D4E39" w:rsidP="006D4E39">
            <w:pPr>
              <w:pStyle w:val="Subtitle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</w:rPr>
              <w:t xml:space="preserve">Estes slides abrangem a avaliação do Conselho da Europa da AJM e de outras disposições, incluindo recomendações e instrumentos de apoio existentes. </w:t>
            </w:r>
          </w:p>
          <w:p w14:paraId="586CC452" w14:textId="77777777" w:rsidR="006D4E39" w:rsidRDefault="006D4E39" w:rsidP="006D4E39">
            <w:pPr>
              <w:pStyle w:val="Subtitle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</w:rPr>
              <w:t xml:space="preserve">Por conseguinte, na sua 8.ª sessão plenária (5-6 de dezembro de 2012), o Comité da Convenção sobre o Cibercrime (T-CY) decidiu avaliar, em 2013, a eficácia de algumas das disposições de cooperação internacional do Capítulo III da Convenção de Budapeste sobre o Cibercrime. </w:t>
            </w:r>
          </w:p>
          <w:p w14:paraId="1508B15F" w14:textId="5FB4523B" w:rsidR="006D4E39" w:rsidRPr="00AB07AA" w:rsidRDefault="006D4E39" w:rsidP="006D4E39">
            <w:pPr>
              <w:pStyle w:val="Subtitle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</w:rPr>
              <w:t>Os slides apresentam notas explicativas pormenorizadas.</w:t>
            </w:r>
          </w:p>
        </w:tc>
      </w:tr>
      <w:tr w:rsidR="00F1574D" w:rsidRPr="00D82C18" w14:paraId="0A65AD6F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55312634" w14:textId="30DADDF3" w:rsidR="00F1574D" w:rsidRPr="006527C6" w:rsidRDefault="006D4E39" w:rsidP="004470FE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lastRenderedPageBreak/>
              <w:t>36 a 47</w:t>
            </w:r>
          </w:p>
        </w:tc>
        <w:tc>
          <w:tcPr>
            <w:tcW w:w="7485" w:type="dxa"/>
            <w:gridSpan w:val="2"/>
            <w:vAlign w:val="center"/>
          </w:tcPr>
          <w:p w14:paraId="2F0E2D5C" w14:textId="77777777" w:rsidR="005F709E" w:rsidRDefault="005F709E" w:rsidP="005F709E">
            <w:pPr>
              <w:spacing w:after="120" w:line="280" w:lineRule="exact"/>
              <w:rPr>
                <w:rFonts w:ascii="Arial" w:eastAsia="MS PGothic" w:hAnsi="Arial" w:cs="MS PGothic"/>
                <w:color w:val="000000" w:themeColor="text1"/>
                <w:kern w:val="24"/>
              </w:rPr>
            </w:pPr>
            <w:r>
              <w:rPr>
                <w:rFonts w:ascii="Verdana" w:hAnsi="Verdana"/>
                <w:sz w:val="18"/>
              </w:rPr>
              <w:t>Estes slides apresentam as recomendações do relatório de avaliação.</w:t>
            </w:r>
            <w:r>
              <w:rPr>
                <w:rFonts w:ascii="Arial" w:hAnsi="Arial"/>
                <w:color w:val="000000" w:themeColor="text1"/>
              </w:rPr>
              <w:t xml:space="preserve"> </w:t>
            </w:r>
          </w:p>
          <w:p w14:paraId="7DA2C93F" w14:textId="3822EDEB" w:rsidR="005F709E" w:rsidRPr="005F709E" w:rsidRDefault="005F709E" w:rsidP="005F709E">
            <w:pPr>
              <w:spacing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As recomendações dividem-se em quatro grupos:</w:t>
            </w:r>
          </w:p>
          <w:p w14:paraId="690F7616" w14:textId="77777777" w:rsidR="005F709E" w:rsidRPr="005F709E" w:rsidRDefault="005F709E" w:rsidP="005F709E">
            <w:pPr>
              <w:numPr>
                <w:ilvl w:val="0"/>
                <w:numId w:val="19"/>
              </w:num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Recomendações que são essencialmente da responsabilidade das autoridades nacionais</w:t>
            </w:r>
          </w:p>
          <w:p w14:paraId="1132221B" w14:textId="77777777" w:rsidR="005F709E" w:rsidRPr="005F709E" w:rsidRDefault="005F709E" w:rsidP="005F709E">
            <w:pPr>
              <w:numPr>
                <w:ilvl w:val="0"/>
                <w:numId w:val="19"/>
              </w:num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Recomendações que são essencialmente da responsabilidade do T-CY</w:t>
            </w:r>
          </w:p>
          <w:p w14:paraId="4B531FCD" w14:textId="77777777" w:rsidR="005F709E" w:rsidRPr="005F709E" w:rsidRDefault="005F709E" w:rsidP="005F709E">
            <w:pPr>
              <w:numPr>
                <w:ilvl w:val="0"/>
                <w:numId w:val="19"/>
              </w:num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Recomendações essencialmente da responsabilidade dos projetos de reforço das capacidades do Conselho da Europa</w:t>
            </w:r>
          </w:p>
          <w:p w14:paraId="4EF7EBF0" w14:textId="77777777" w:rsidR="005F709E" w:rsidRPr="005F709E" w:rsidRDefault="005F709E" w:rsidP="005F709E">
            <w:pPr>
              <w:numPr>
                <w:ilvl w:val="0"/>
                <w:numId w:val="19"/>
              </w:num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Recomendações que poderão ter de ser abordadas através de um Protocolo Adicional à Convenção de Budapeste sobre o Cibercrime</w:t>
            </w:r>
          </w:p>
          <w:p w14:paraId="59937E6B" w14:textId="0DA85922" w:rsidR="006527C6" w:rsidRDefault="005F709E" w:rsidP="006527C6">
            <w:p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As ligações de ferramentas de apoio são apresentadas com hiperligações ativas, que podem ser seguidas pelo formador e pelos participantes se forem definidos requisitos técnicos.</w:t>
            </w:r>
          </w:p>
        </w:tc>
      </w:tr>
      <w:tr w:rsidR="005F709E" w:rsidRPr="00D82C18" w14:paraId="1918B48F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224BC13F" w14:textId="7D25F60C" w:rsidR="005F709E" w:rsidRDefault="006D4E39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48 a 50</w:t>
            </w:r>
          </w:p>
        </w:tc>
        <w:tc>
          <w:tcPr>
            <w:tcW w:w="7485" w:type="dxa"/>
            <w:gridSpan w:val="2"/>
            <w:vAlign w:val="center"/>
          </w:tcPr>
          <w:p w14:paraId="2E2377DE" w14:textId="4A777863" w:rsidR="005F709E" w:rsidRDefault="005F709E" w:rsidP="005F709E">
            <w:p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Os slides finais permitem ao formador rever os objetivos de aprendizagem com os participantes de modo a ter a certeza de que foram alcançados. Constitui também uma oportunidade para os participantes levantarem quaisquer questões que tenham ou quando não tiverem compreendido plenamente os temas apresentados.</w:t>
            </w:r>
            <w:r w:rsidR="00F641D5">
              <w:rPr>
                <w:rFonts w:ascii="Verdana" w:hAnsi="Verdana"/>
                <w:sz w:val="18"/>
              </w:rPr>
              <w:t xml:space="preserve"> </w:t>
            </w:r>
          </w:p>
          <w:p w14:paraId="4F4159A3" w14:textId="21BA5D76" w:rsidR="005F709E" w:rsidRDefault="005F709E" w:rsidP="005F709E">
            <w:p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Além disso, o formador pode utilizar a sessão para verificar os conhecimentos adquiridos colocando perguntas aos participantes. Este aspeto é importante, uma vez que não existe uma avaliação formal para o curso.</w:t>
            </w:r>
          </w:p>
        </w:tc>
      </w:tr>
      <w:tr w:rsidR="00CB3026" w:rsidRPr="00D82C18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Exercícios práticos</w:t>
            </w:r>
          </w:p>
          <w:p w14:paraId="04D65D89" w14:textId="0EFF7125" w:rsidR="00CB3026" w:rsidRPr="00CB3026" w:rsidRDefault="00CB3026" w:rsidP="00B3608C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Nesta sessão não estão previstos exercícios práticos.</w:t>
            </w:r>
          </w:p>
        </w:tc>
      </w:tr>
      <w:tr w:rsidR="00CB3026" w:rsidRPr="00D82C18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77777777" w:rsidR="00CB3026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>
              <w:rPr>
                <w:rFonts w:ascii="Verdana" w:hAnsi="Verdana"/>
                <w:b/>
                <w:sz w:val="22"/>
              </w:rPr>
              <w:t>Avaliação/verificação</w:t>
            </w:r>
            <w:proofErr w:type="spellEnd"/>
            <w:r>
              <w:rPr>
                <w:rFonts w:ascii="Verdana" w:hAnsi="Verdana"/>
                <w:b/>
                <w:sz w:val="22"/>
              </w:rPr>
              <w:t xml:space="preserve"> de conhecimentos</w:t>
            </w:r>
          </w:p>
          <w:p w14:paraId="4496975B" w14:textId="1B3740FD" w:rsidR="00CB3026" w:rsidRPr="00CB3026" w:rsidRDefault="00CB3026" w:rsidP="00B3608C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Não foi solicitada qualquer verificação ou avaliação de conhecimentos para esta sessão.</w:t>
            </w:r>
          </w:p>
        </w:tc>
      </w:tr>
    </w:tbl>
    <w:p w14:paraId="15498912" w14:textId="77777777" w:rsidR="00D82C18" w:rsidRPr="00D82C18" w:rsidRDefault="00D82C18">
      <w:pPr>
        <w:rPr>
          <w:rFonts w:ascii="Verdana" w:hAnsi="Verdana"/>
        </w:rPr>
      </w:pPr>
    </w:p>
    <w:sectPr w:rsidR="00D82C18" w:rsidRPr="00D82C18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A701041"/>
    <w:multiLevelType w:val="hybridMultilevel"/>
    <w:tmpl w:val="74B491D4"/>
    <w:lvl w:ilvl="0" w:tplc="13CE29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ABC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32214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F2B6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06AE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3E00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DE06D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A45DD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CC35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C2030"/>
    <w:multiLevelType w:val="hybridMultilevel"/>
    <w:tmpl w:val="2ABAA646"/>
    <w:lvl w:ilvl="0" w:tplc="76E0E7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CE9B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E8243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B0E29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84E2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362F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2839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C8A6B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2557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F75E0"/>
    <w:multiLevelType w:val="hybridMultilevel"/>
    <w:tmpl w:val="BA6E84EA"/>
    <w:lvl w:ilvl="0" w:tplc="676AC7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A177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2AF5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402E6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D4C7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8211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494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CCD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5ABE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E10C7"/>
    <w:multiLevelType w:val="hybridMultilevel"/>
    <w:tmpl w:val="AADA1F4A"/>
    <w:lvl w:ilvl="0" w:tplc="BB2063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6E09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CF7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A0C53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AF99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070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9AED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8A85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8290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C910DB"/>
    <w:multiLevelType w:val="hybridMultilevel"/>
    <w:tmpl w:val="0F2A1AC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8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9C02A6"/>
    <w:multiLevelType w:val="hybridMultilevel"/>
    <w:tmpl w:val="8B0AA106"/>
    <w:lvl w:ilvl="0" w:tplc="E69EE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467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FCE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F4E3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EF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C4E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42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2C9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C2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D4895"/>
    <w:multiLevelType w:val="hybridMultilevel"/>
    <w:tmpl w:val="8F706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722377"/>
    <w:multiLevelType w:val="hybridMultilevel"/>
    <w:tmpl w:val="85B03316"/>
    <w:lvl w:ilvl="0" w:tplc="44DE59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58BD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3C69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EAF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E09A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E289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A52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CC21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4C9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E864AE1"/>
    <w:multiLevelType w:val="hybridMultilevel"/>
    <w:tmpl w:val="E2F8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CA1946"/>
    <w:multiLevelType w:val="hybridMultilevel"/>
    <w:tmpl w:val="F7D64D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0"/>
  </w:num>
  <w:num w:numId="4">
    <w:abstractNumId w:val="8"/>
  </w:num>
  <w:num w:numId="5">
    <w:abstractNumId w:val="9"/>
  </w:num>
  <w:num w:numId="6">
    <w:abstractNumId w:val="18"/>
  </w:num>
  <w:num w:numId="7">
    <w:abstractNumId w:val="5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6"/>
  </w:num>
  <w:num w:numId="10">
    <w:abstractNumId w:val="3"/>
  </w:num>
  <w:num w:numId="11">
    <w:abstractNumId w:val="11"/>
  </w:num>
  <w:num w:numId="12">
    <w:abstractNumId w:val="15"/>
  </w:num>
  <w:num w:numId="13">
    <w:abstractNumId w:val="4"/>
  </w:num>
  <w:num w:numId="14">
    <w:abstractNumId w:val="6"/>
  </w:num>
  <w:num w:numId="15">
    <w:abstractNumId w:val="14"/>
  </w:num>
  <w:num w:numId="16">
    <w:abstractNumId w:val="1"/>
  </w:num>
  <w:num w:numId="17">
    <w:abstractNumId w:val="2"/>
  </w:num>
  <w:num w:numId="18">
    <w:abstractNumId w:val="1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18"/>
    <w:rsid w:val="00006EAD"/>
    <w:rsid w:val="000C40EE"/>
    <w:rsid w:val="000F7896"/>
    <w:rsid w:val="00151E6A"/>
    <w:rsid w:val="001D603D"/>
    <w:rsid w:val="00271010"/>
    <w:rsid w:val="002E3ECE"/>
    <w:rsid w:val="002F3B54"/>
    <w:rsid w:val="0033766C"/>
    <w:rsid w:val="0034224C"/>
    <w:rsid w:val="00342639"/>
    <w:rsid w:val="003453F7"/>
    <w:rsid w:val="003630ED"/>
    <w:rsid w:val="003A435F"/>
    <w:rsid w:val="003F6587"/>
    <w:rsid w:val="004470FE"/>
    <w:rsid w:val="00450007"/>
    <w:rsid w:val="00457DD3"/>
    <w:rsid w:val="004B7351"/>
    <w:rsid w:val="004D35F1"/>
    <w:rsid w:val="004D3E6A"/>
    <w:rsid w:val="00502003"/>
    <w:rsid w:val="00556D69"/>
    <w:rsid w:val="005703B7"/>
    <w:rsid w:val="005A4E47"/>
    <w:rsid w:val="005D4432"/>
    <w:rsid w:val="005D7794"/>
    <w:rsid w:val="005F709E"/>
    <w:rsid w:val="006527C6"/>
    <w:rsid w:val="006B6FDF"/>
    <w:rsid w:val="006D4E39"/>
    <w:rsid w:val="0075334E"/>
    <w:rsid w:val="007678A6"/>
    <w:rsid w:val="00773F6C"/>
    <w:rsid w:val="0080315D"/>
    <w:rsid w:val="00844FBF"/>
    <w:rsid w:val="00863197"/>
    <w:rsid w:val="008817F1"/>
    <w:rsid w:val="008A4C93"/>
    <w:rsid w:val="008E3FE7"/>
    <w:rsid w:val="00951791"/>
    <w:rsid w:val="009717A2"/>
    <w:rsid w:val="009D1DB1"/>
    <w:rsid w:val="009F336B"/>
    <w:rsid w:val="00A03CF0"/>
    <w:rsid w:val="00A342ED"/>
    <w:rsid w:val="00A4110D"/>
    <w:rsid w:val="00A734A5"/>
    <w:rsid w:val="00A76996"/>
    <w:rsid w:val="00AA5742"/>
    <w:rsid w:val="00AB07AA"/>
    <w:rsid w:val="00B3608C"/>
    <w:rsid w:val="00B56791"/>
    <w:rsid w:val="00BD7897"/>
    <w:rsid w:val="00C115FC"/>
    <w:rsid w:val="00C541A2"/>
    <w:rsid w:val="00CB02C4"/>
    <w:rsid w:val="00CB3026"/>
    <w:rsid w:val="00CC1F79"/>
    <w:rsid w:val="00CC2222"/>
    <w:rsid w:val="00D62E5F"/>
    <w:rsid w:val="00D82C18"/>
    <w:rsid w:val="00E13BE7"/>
    <w:rsid w:val="00E7344B"/>
    <w:rsid w:val="00E95703"/>
    <w:rsid w:val="00EE1E16"/>
    <w:rsid w:val="00F1338F"/>
    <w:rsid w:val="00F1574D"/>
    <w:rsid w:val="00F504D6"/>
    <w:rsid w:val="00F62A15"/>
    <w:rsid w:val="00F641D5"/>
    <w:rsid w:val="00F955B5"/>
    <w:rsid w:val="00FB6DE5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3B29B350-01AC-49EB-9C94-549F8938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12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257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76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946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1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0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2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0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4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2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1394</Words>
  <Characters>7222</Characters>
  <Application>Microsoft Office Word</Application>
  <DocSecurity>0</DocSecurity>
  <Lines>218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msmtrad</cp:lastModifiedBy>
  <cp:revision>3</cp:revision>
  <dcterms:created xsi:type="dcterms:W3CDTF">2021-07-26T16:51:00Z</dcterms:created>
  <dcterms:modified xsi:type="dcterms:W3CDTF">2021-09-04T11:11:00Z</dcterms:modified>
</cp:coreProperties>
</file>